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487" w:rsidRDefault="00623487">
      <w:pPr>
        <w:rPr>
          <w:lang w:val="sr-Cyrl-RS"/>
        </w:rPr>
      </w:pPr>
      <w:bookmarkStart w:id="0" w:name="_GoBack"/>
      <w:bookmarkEnd w:id="0"/>
      <w:r>
        <w:rPr>
          <w:lang w:val="sr-Cyrl-RS"/>
        </w:rPr>
        <w:t>Питања и одговори</w:t>
      </w:r>
    </w:p>
    <w:p w:rsidR="00623487" w:rsidRDefault="00623487">
      <w:pPr>
        <w:rPr>
          <w:lang w:val="sr-Cyrl-RS"/>
        </w:rPr>
      </w:pPr>
    </w:p>
    <w:p w:rsidR="00623487" w:rsidRDefault="00623487" w:rsidP="00623487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К</w:t>
      </w:r>
      <w:r w:rsidRPr="00623487">
        <w:rPr>
          <w:lang w:val="sr-Cyrl-RS"/>
        </w:rPr>
        <w:t>ако је конкурсном документацијом, у оквиру маркетиншких активности, предвиђена и креатива и од будућег пружаоца услуге се очекује да дефинише креативна решења, а са друге стране опис ставки у делу брандинг и АВ је ограничен, да ли понуђач има право да прошири образац структуре цене тако што ће да укључи додатне ставке које би предложио током реализације уговора кроз своја креативна решења, са јединичним ценама?</w:t>
      </w:r>
    </w:p>
    <w:p w:rsidR="00E8014D" w:rsidRDefault="00E8014D" w:rsidP="00E8014D">
      <w:pPr>
        <w:rPr>
          <w:lang w:val="sr-Cyrl-RS"/>
        </w:rPr>
      </w:pPr>
    </w:p>
    <w:p w:rsidR="00E8014D" w:rsidRDefault="00E8014D" w:rsidP="00E8014D">
      <w:pPr>
        <w:rPr>
          <w:lang w:val="sr-Cyrl-RS"/>
        </w:rPr>
      </w:pPr>
      <w:r>
        <w:rPr>
          <w:lang w:val="sr-Cyrl-RS"/>
        </w:rPr>
        <w:t>Одговори</w:t>
      </w:r>
    </w:p>
    <w:p w:rsidR="00E8014D" w:rsidRDefault="00E8014D" w:rsidP="00E8014D">
      <w:pPr>
        <w:rPr>
          <w:lang w:val="sr-Cyrl-RS"/>
        </w:rPr>
      </w:pPr>
    </w:p>
    <w:p w:rsidR="00E8014D" w:rsidRPr="00E8014D" w:rsidRDefault="00C5517D" w:rsidP="00E8014D">
      <w:pPr>
        <w:pStyle w:val="ListParagraph"/>
        <w:numPr>
          <w:ilvl w:val="0"/>
          <w:numId w:val="2"/>
        </w:numPr>
        <w:rPr>
          <w:lang w:val="sr-Cyrl-RS"/>
        </w:rPr>
      </w:pPr>
      <w:r w:rsidRPr="00C5517D">
        <w:rPr>
          <w:lang w:val="sr-Cyrl-RS"/>
        </w:rPr>
        <w:t>Понуђачи имају право да прошире образац структуре цене тако што ће додати ставке материјала и опреме.</w:t>
      </w:r>
    </w:p>
    <w:sectPr w:rsidR="00E8014D" w:rsidRPr="00E801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F4A78"/>
    <w:multiLevelType w:val="hybridMultilevel"/>
    <w:tmpl w:val="E8A49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66E6E"/>
    <w:multiLevelType w:val="hybridMultilevel"/>
    <w:tmpl w:val="E8A49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487"/>
    <w:rsid w:val="00623487"/>
    <w:rsid w:val="00C50700"/>
    <w:rsid w:val="00C5517D"/>
    <w:rsid w:val="00E8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94AB97-531B-41D2-A56A-5513936A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Zlata Krapež</cp:lastModifiedBy>
  <cp:revision>2</cp:revision>
  <dcterms:created xsi:type="dcterms:W3CDTF">2019-12-27T15:38:00Z</dcterms:created>
  <dcterms:modified xsi:type="dcterms:W3CDTF">2019-12-27T15:38:00Z</dcterms:modified>
</cp:coreProperties>
</file>